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925" w:rsidRDefault="006C4925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8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00"/>
        <w:gridCol w:w="1840"/>
        <w:gridCol w:w="5920"/>
        <w:gridCol w:w="2320"/>
        <w:gridCol w:w="1580"/>
      </w:tblGrid>
      <w:tr w:rsidR="006C4925">
        <w:trPr>
          <w:trHeight w:val="62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ED5"/>
            <w:vAlign w:val="center"/>
          </w:tcPr>
          <w:p w:rsidR="006C4925" w:rsidRDefault="005342A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6C4925">
        <w:trPr>
          <w:trHeight w:val="46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C4925" w:rsidRDefault="005342A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Unit Planner </w:t>
            </w:r>
            <w:r>
              <w:rPr>
                <w:sz w:val="20"/>
                <w:szCs w:val="20"/>
              </w:rPr>
              <w:t>(Word, GS)</w:t>
            </w:r>
          </w:p>
        </w:tc>
      </w:tr>
      <w:tr w:rsidR="006C4925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Teacher: Katie </w:t>
            </w:r>
            <w:proofErr w:type="spellStart"/>
            <w:r>
              <w:rPr>
                <w:sz w:val="24"/>
                <w:szCs w:val="24"/>
              </w:rPr>
              <w:t>Velto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Level: 2nd </w:t>
            </w:r>
          </w:p>
        </w:tc>
      </w:tr>
      <w:tr w:rsidR="006C4925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Area: Science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Curricular Opportunities:</w:t>
            </w:r>
          </w:p>
        </w:tc>
      </w:tr>
      <w:tr w:rsidR="006C4925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Title: W</w:t>
            </w:r>
            <w:r>
              <w:rPr>
                <w:sz w:val="24"/>
                <w:szCs w:val="24"/>
              </w:rPr>
              <w:t>acky Weather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Duration of Unit: one week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Overview of Unit: Students </w:t>
            </w:r>
            <w:r>
              <w:rPr>
                <w:sz w:val="24"/>
                <w:szCs w:val="24"/>
              </w:rPr>
              <w:t xml:space="preserve">will learn about different measuring tools and how to observe, and track weather during this unit. </w:t>
            </w:r>
          </w:p>
        </w:tc>
      </w:tr>
      <w:tr w:rsidR="006C4925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6C4925" w:rsidRDefault="006C4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Strategies: Active </w:t>
            </w:r>
            <w:r>
              <w:rPr>
                <w:sz w:val="24"/>
                <w:szCs w:val="24"/>
              </w:rPr>
              <w:t>learning, Learner-Centered Teaching, and Experiential Learning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Catholic Identity Connections: Based off of </w:t>
            </w:r>
            <w:r>
              <w:rPr>
                <w:sz w:val="24"/>
                <w:szCs w:val="24"/>
              </w:rPr>
              <w:t>the Catholic Academic Standards of Excellence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(authentic/published - summative/formative): Formative </w:t>
            </w:r>
            <w:r>
              <w:rPr>
                <w:sz w:val="24"/>
                <w:szCs w:val="24"/>
              </w:rPr>
              <w:t>Assessment</w:t>
            </w:r>
          </w:p>
        </w:tc>
      </w:tr>
      <w:tr w:rsidR="006C4925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6C4925" w:rsidRDefault="00534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6C4925" w:rsidRDefault="00534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SC.S.2.1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Nature of Science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demonstrate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the ability to think and act as scientists by engaging in active inquiries and investigations, whi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le incorporating hands-on activities.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3/1- 3/5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SC.O.2.1.04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Nature of Science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demonstrate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curiosity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, initiative and creativity by observing, classifying, comparing and analyzing natural objects in the environment.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http://kids.nationalgeographic.com/search-results/?q=weather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3/1- 3/5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SC.O.2.1.08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Nature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of Science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design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and conduct simple investig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ations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; observe, collect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collect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and record information using a variety of classification systems; describe trends of data; and make predictions based on that data.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3/1- 3/5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SC.O.2.2.14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Content of Science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Observe</w:t>
            </w:r>
            <w:r>
              <w:rPr>
                <w:sz w:val="18"/>
                <w:szCs w:val="18"/>
              </w:rPr>
              <w:t xml:space="preserve"> and describe different types of pre</w:t>
            </w:r>
            <w:r>
              <w:rPr>
                <w:sz w:val="18"/>
                <w:szCs w:val="18"/>
              </w:rPr>
              <w:t>cipitation.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3/1- 3/5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SC.O.2.2.15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Content of Science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describe</w:t>
            </w:r>
            <w:proofErr w:type="gramEnd"/>
            <w:r>
              <w:rPr>
                <w:sz w:val="18"/>
                <w:szCs w:val="18"/>
              </w:rPr>
              <w:t xml:space="preserve"> daily and seasonal weather changes.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3/1- 3/5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C4925" w:rsidRDefault="005342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Differentiated Instruction Opportunities/Overview: I will </w:t>
            </w:r>
            <w:r>
              <w:rPr>
                <w:sz w:val="18"/>
                <w:szCs w:val="18"/>
              </w:rPr>
              <w:t xml:space="preserve">be supporting diverse learners in the science classroom by emphasizing safety guidelines and creating step-by- step directions for each lesson. I am also going to assign roles according to each student's strength. 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Cross Curricular Opportunities level:</w:t>
            </w:r>
          </w:p>
        </w:tc>
      </w:tr>
      <w:tr w:rsidR="006C4925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 Standard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O.2.3.02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Students will use models as representation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s of real things.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Scie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nce books and technology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3/1- 3/5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4925" w:rsidRDefault="005342A8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6C4925">
        <w:trPr>
          <w:trHeight w:val="420"/>
        </w:trPr>
        <w:tc>
          <w:tcPr>
            <w:tcW w:w="12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:rsidR="006C4925" w:rsidRDefault="005342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Core Checklist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Writing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Paragraph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Essay (narratives, fairy tales, realistic fiction)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Summary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Research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Detailed answers (text supported)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Notes (note taking skills, outlines)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Complete sentences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Reading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Informational text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Lexile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925" w:rsidRDefault="005342A8">
            <w:pPr>
              <w:spacing w:after="0" w:line="240" w:lineRule="auto"/>
            </w:pPr>
            <w:r>
              <w:t>Complex literature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Speaking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Listening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Varied strategies and instructional methods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Critical thinking in whole class discussion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Student led activities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common core standards (literature circles)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C4925" w:rsidRDefault="005342A8">
            <w:pPr>
              <w:spacing w:after="0" w:line="240" w:lineRule="auto"/>
            </w:pPr>
            <w:r>
              <w:t>Technology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Smartboard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Computers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iPads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Elmo etc.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lastRenderedPageBreak/>
              <w:t>Differentiated Instruction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Used multiple resources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Domain Vocabulary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Cross-Curricular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Collaborative engagement (meaningful feedback)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Higher level learning and teaching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Assessment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Project based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Writing prompt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Portfolio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Observation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Quiz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Technology based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Test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Student created test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Presentation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Journal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Think, pair, share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Summary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Oral questioning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Analogy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or movie maker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C4925" w:rsidRDefault="005342A8">
            <w:pPr>
              <w:spacing w:after="0" w:line="240" w:lineRule="auto"/>
            </w:pPr>
            <w:r>
              <w:t>Authenticity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Various activities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C4925" w:rsidRDefault="005342A8">
            <w:pPr>
              <w:spacing w:after="0" w:line="240" w:lineRule="auto"/>
            </w:pPr>
            <w:r>
              <w:t> ***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Inquiry, research and evidence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Evidence of time management and planning</w:t>
            </w:r>
          </w:p>
        </w:tc>
      </w:tr>
      <w:tr w:rsidR="006C49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C4925" w:rsidRDefault="005342A8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925" w:rsidRDefault="005342A8">
            <w:pPr>
              <w:spacing w:after="0" w:line="240" w:lineRule="auto"/>
            </w:pPr>
            <w:r>
              <w:t>Problem solving strategies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C4925" w:rsidRDefault="005342A8">
            <w:pPr>
              <w:spacing w:after="0" w:line="240" w:lineRule="auto"/>
            </w:pPr>
            <w:r>
              <w:t>Summary of Unit: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5342A8">
            <w:pPr>
              <w:spacing w:after="0" w:line="240" w:lineRule="auto"/>
            </w:pPr>
            <w:r>
              <w:t xml:space="preserve"> In this unit the students will learn how to make a weather station using tools that meteorologists use. They will also use the internet to observe </w:t>
            </w:r>
            <w:r>
              <w:t>and compare weather in different states. Then, the students will use the instruments that they created to tr</w:t>
            </w:r>
            <w:r>
              <w:t xml:space="preserve">ack and record weather </w:t>
            </w:r>
            <w:r>
              <w:lastRenderedPageBreak/>
              <w:t xml:space="preserve">measurements. They will be able to answer how the weather changes and if forecasters are always right by the end of the week. </w:t>
            </w: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6C4925">
            <w:pPr>
              <w:spacing w:after="0" w:line="240" w:lineRule="auto"/>
            </w:pP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6C4925">
            <w:pPr>
              <w:spacing w:after="0" w:line="240" w:lineRule="auto"/>
            </w:pP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6C4925">
            <w:pPr>
              <w:spacing w:after="0" w:line="240" w:lineRule="auto"/>
            </w:pP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6C4925">
            <w:pPr>
              <w:spacing w:after="0" w:line="240" w:lineRule="auto"/>
            </w:pPr>
          </w:p>
        </w:tc>
      </w:tr>
      <w:tr w:rsidR="006C492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6C4925" w:rsidRDefault="006C4925">
            <w:pPr>
              <w:spacing w:after="0" w:line="240" w:lineRule="auto"/>
            </w:pPr>
          </w:p>
        </w:tc>
      </w:tr>
    </w:tbl>
    <w:p w:rsidR="006C4925" w:rsidRDefault="006C4925"/>
    <w:sectPr w:rsidR="006C4925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25"/>
    <w:rsid w:val="005342A8"/>
    <w:rsid w:val="006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C47E4-0D5F-4693-9BE5-B0057383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Parsons</dc:creator>
  <cp:lastModifiedBy>Lucas Parsons</cp:lastModifiedBy>
  <cp:revision>2</cp:revision>
  <dcterms:created xsi:type="dcterms:W3CDTF">2017-04-18T11:44:00Z</dcterms:created>
  <dcterms:modified xsi:type="dcterms:W3CDTF">2017-04-18T11:44:00Z</dcterms:modified>
</cp:coreProperties>
</file>