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29" w:type="dxa"/>
        <w:tblInd w:w="93" w:type="dxa"/>
        <w:tblLook w:val="04A0" w:firstRow="1" w:lastRow="0" w:firstColumn="1" w:lastColumn="0" w:noHBand="0" w:noVBand="1"/>
      </w:tblPr>
      <w:tblGrid>
        <w:gridCol w:w="1229"/>
        <w:gridCol w:w="2080"/>
        <w:gridCol w:w="5669"/>
        <w:gridCol w:w="2551"/>
        <w:gridCol w:w="1200"/>
      </w:tblGrid>
      <w:tr w:rsidR="00FE4052" w:rsidTr="00982990">
        <w:trPr>
          <w:trHeight w:val="600"/>
        </w:trPr>
        <w:tc>
          <w:tcPr>
            <w:tcW w:w="1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Diocese of Wheeling-Charleston </w:t>
            </w:r>
          </w:p>
        </w:tc>
      </w:tr>
      <w:tr w:rsidR="00FE4052" w:rsidTr="00982990">
        <w:trPr>
          <w:trHeight w:val="465"/>
        </w:trPr>
        <w:tc>
          <w:tcPr>
            <w:tcW w:w="1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CASE Math Unit Planner</w:t>
            </w:r>
          </w:p>
        </w:tc>
      </w:tr>
      <w:tr w:rsidR="000639FE" w:rsidTr="00982990">
        <w:trPr>
          <w:trHeight w:val="420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:rsidR="00FE4052" w:rsidRDefault="00FE4052">
            <w:pPr>
              <w:tabs>
                <w:tab w:val="left" w:pos="234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Teacher: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Mrs. Mary Dailey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vAlign w:val="bottom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Grade Level: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E4052" w:rsidTr="00982990">
        <w:trPr>
          <w:trHeight w:val="420"/>
        </w:trPr>
        <w:tc>
          <w:tcPr>
            <w:tcW w:w="1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Domain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 Exponential and Logarithmic Functions</w:t>
            </w:r>
          </w:p>
        </w:tc>
      </w:tr>
      <w:tr w:rsidR="00FE4052" w:rsidTr="00982990">
        <w:trPr>
          <w:trHeight w:val="300"/>
        </w:trPr>
        <w:tc>
          <w:tcPr>
            <w:tcW w:w="1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Estimated Duration of Unit: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Weeks</w:t>
            </w:r>
          </w:p>
        </w:tc>
      </w:tr>
      <w:tr w:rsidR="00FE4052" w:rsidTr="00982990">
        <w:trPr>
          <w:trHeight w:val="555"/>
        </w:trPr>
        <w:tc>
          <w:tcPr>
            <w:tcW w:w="1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:rsidR="00FE4052" w:rsidRDefault="00FE4052">
            <w:pPr>
              <w:widowControl w:val="0"/>
              <w:rPr>
                <w:rFonts w:cs="Times New Roman"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Specific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Clusters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Addressed:  Analyze functions using different representations; Build new functions from existing functions.</w:t>
            </w:r>
          </w:p>
        </w:tc>
      </w:tr>
      <w:tr w:rsidR="00FE4052" w:rsidTr="00982990">
        <w:trPr>
          <w:trHeight w:val="465"/>
        </w:trPr>
        <w:tc>
          <w:tcPr>
            <w:tcW w:w="1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Teaching Strategies: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lecture, interaction, problem-solving, inquiry</w:t>
            </w:r>
          </w:p>
        </w:tc>
      </w:tr>
      <w:tr w:rsidR="00FE4052" w:rsidTr="00982990">
        <w:trPr>
          <w:trHeight w:val="465"/>
        </w:trPr>
        <w:tc>
          <w:tcPr>
            <w:tcW w:w="1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Catholic Identity Connections:</w:t>
            </w:r>
            <w:r w:rsidR="00C42E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As students solve exponential and logarithmic problems, they learn that models using these types of equations can lead to an understanding of real-world issues.  For example, recent medical research suggests that the relative risk of having a car accident after drinking can be modeled by an exponential equation which relates risk to blood-alcohol concentration.  God has truly given us tools to understand the world better.</w:t>
            </w:r>
          </w:p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Cross Curricular Opportunities:</w:t>
            </w:r>
            <w:r w:rsidR="00B512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Economics:  Financial Models.  Exponential functions are used in financial models.  Students will learn these definitions and use them in financial calculations:  principal, rate of interest, compounded interest, future value, present value, effective rate of interest.</w:t>
            </w:r>
          </w:p>
        </w:tc>
      </w:tr>
      <w:tr w:rsidR="00FE4052" w:rsidTr="00982990">
        <w:trPr>
          <w:trHeight w:val="300"/>
        </w:trPr>
        <w:tc>
          <w:tcPr>
            <w:tcW w:w="1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Assessment (authentic/published - summative/formative):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Feedback during lectures, board work, quizzes, final unit test.</w:t>
            </w:r>
          </w:p>
        </w:tc>
      </w:tr>
      <w:tr w:rsidR="00FE4052" w:rsidTr="00982990">
        <w:trPr>
          <w:trHeight w:val="345"/>
        </w:trPr>
        <w:tc>
          <w:tcPr>
            <w:tcW w:w="1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Standards Addressed</w:t>
            </w:r>
          </w:p>
        </w:tc>
      </w:tr>
      <w:tr w:rsidR="00FE4052" w:rsidTr="00982990">
        <w:trPr>
          <w:trHeight w:val="51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F1DE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S/O</w:t>
            </w:r>
          </w:p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Standards/Objectives</w:t>
            </w:r>
          </w:p>
        </w:tc>
      </w:tr>
      <w:tr w:rsidR="00FE4052" w:rsidTr="00982990">
        <w:trPr>
          <w:trHeight w:val="24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0"/>
                <w:szCs w:val="20"/>
              </w:rPr>
              <w:t> M.S.PC.2</w:t>
            </w:r>
          </w:p>
        </w:tc>
        <w:tc>
          <w:tcPr>
            <w:tcW w:w="1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Through communication, representation, reasoning and proof, problem solving, and making connections within and beyond the field of mathematics, students will</w:t>
            </w:r>
          </w:p>
          <w:p w:rsidR="00FE4052" w:rsidRDefault="00FE4052" w:rsidP="009E31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patterns, relations, and functions,</w:t>
            </w:r>
          </w:p>
          <w:p w:rsidR="00FE4052" w:rsidRDefault="00FE4052" w:rsidP="009E31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 and analyze mathematical situations and structures using algebraic symbols</w:t>
            </w:r>
          </w:p>
          <w:p w:rsidR="00FE4052" w:rsidRDefault="00FE4052" w:rsidP="009E31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mathematical models to represent and understand quantitative relationships, and</w:t>
            </w:r>
          </w:p>
          <w:p w:rsidR="00FE4052" w:rsidRDefault="00FE4052" w:rsidP="009E31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change in various contexts.</w:t>
            </w:r>
          </w:p>
        </w:tc>
      </w:tr>
      <w:tr w:rsidR="00FE4052" w:rsidTr="00982990">
        <w:trPr>
          <w:trHeight w:val="24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FE4052" w:rsidRDefault="00FE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M.O.PC.2.4</w:t>
            </w:r>
          </w:p>
        </w:tc>
        <w:tc>
          <w:tcPr>
            <w:tcW w:w="1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t>establish</w:t>
            </w:r>
            <w:proofErr w:type="gramEnd"/>
            <w:r>
              <w:t xml:space="preserve"> and explain the inverse relationship between exponential and logarithmic functions; graph related functions and include their domain and range using interval notation.</w:t>
            </w:r>
          </w:p>
        </w:tc>
      </w:tr>
      <w:tr w:rsidR="00FE4052" w:rsidTr="00982990">
        <w:trPr>
          <w:trHeight w:val="24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FE4052" w:rsidRDefault="00FE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M.O.PC.2.5</w:t>
            </w:r>
          </w:p>
        </w:tc>
        <w:tc>
          <w:tcPr>
            <w:tcW w:w="1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compare laws of exponents to properties of logarithms; solve equations and practical problems involving exponential and logarithmic expressions, including natural and common logarithms; confirm solutions graphically and numerically</w:t>
            </w:r>
          </w:p>
        </w:tc>
      </w:tr>
      <w:tr w:rsidR="00FE4052" w:rsidTr="00982990">
        <w:trPr>
          <w:trHeight w:val="24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FE4052" w:rsidRDefault="00FE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M.O.PC.3.1</w:t>
            </w:r>
          </w:p>
        </w:tc>
        <w:tc>
          <w:tcPr>
            <w:tcW w:w="1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 functions using transformations.</w:t>
            </w:r>
          </w:p>
        </w:tc>
      </w:tr>
      <w:tr w:rsidR="000639FE" w:rsidTr="00982990">
        <w:trPr>
          <w:trHeight w:val="480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4DFEC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Description of Activity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Resources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 of Completion</w:t>
            </w:r>
          </w:p>
        </w:tc>
      </w:tr>
      <w:tr w:rsidR="000639FE" w:rsidTr="00982990">
        <w:trPr>
          <w:trHeight w:val="402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6E5E7"/>
            <w:noWrap/>
          </w:tcPr>
          <w:p w:rsidR="00FE4052" w:rsidRDefault="0017764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Form a composite function.  Find the domain of a composite function.  Exercises showing that two composite functions are equal.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 Teacher, textbook, smartboard, chalkboard, TI-84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Smartview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:rsidR="00FE4052" w:rsidRDefault="0017764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Day 1</w:t>
            </w:r>
          </w:p>
        </w:tc>
      </w:tr>
      <w:tr w:rsidR="000639FE" w:rsidTr="00982990">
        <w:trPr>
          <w:trHeight w:val="402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6E5E7"/>
            <w:noWrap/>
          </w:tcPr>
          <w:p w:rsidR="00FE4052" w:rsidRDefault="0017764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Determine whether a function is one-to-one (evaluating values in tables, and graphical determination . . . does it pass the horizontal line test?).  Determine the inverse of a function defined by a map or a set or ordered pairs.  Obtain the graph of the inverse function from the graph of the function.  Find the inverse of a function determined by an equation.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Same as above.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:rsidR="00FE4052" w:rsidRDefault="001776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Days 2-3</w:t>
            </w:r>
            <w:r w:rsidR="00FE405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9FE" w:rsidTr="00982990">
        <w:trPr>
          <w:trHeight w:val="402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6E5E7"/>
            <w:noWrap/>
          </w:tcPr>
          <w:p w:rsidR="00FE4052" w:rsidRDefault="0017764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Exponential functions.  Evaluate and graph exponential functions.  Define the number e.  Solve exponential equations.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Same as above.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 Days </w:t>
            </w:r>
            <w:r w:rsidR="001776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4-5</w:t>
            </w:r>
          </w:p>
        </w:tc>
      </w:tr>
      <w:tr w:rsidR="000639FE" w:rsidTr="00982990">
        <w:trPr>
          <w:trHeight w:val="402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6E5E7"/>
            <w:noWrap/>
          </w:tcPr>
          <w:p w:rsidR="00FE4052" w:rsidRDefault="0017764A">
            <w:pPr>
              <w:tabs>
                <w:tab w:val="left" w:pos="4035"/>
                <w:tab w:val="left" w:pos="4554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Logarithmic Functions.  Change exponential statements to logarithmic statements and logarithmic statements to exponential statements.  </w:t>
            </w:r>
            <w:r w:rsidR="004550A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Evaluate logarithmic expressions.  Determine the domain of a logarithmic function.  Graph logarithmic functions.  Solve logarithmic equations.   Have students prepare for quiz by working through problems on the board.  Quiz.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Same as above.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:rsidR="00FE4052" w:rsidRDefault="004550A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Days 6-8</w:t>
            </w:r>
          </w:p>
        </w:tc>
      </w:tr>
      <w:tr w:rsidR="000639FE" w:rsidTr="00982990">
        <w:trPr>
          <w:trHeight w:val="402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6E5E7"/>
            <w:noWrap/>
          </w:tcPr>
          <w:p w:rsidR="00FE4052" w:rsidRDefault="004550A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Properties of logarithms.  Work with the properties.  Write a logarithmic expression as a sum or difference of logarithms.  Write a logarithmic expression as a single logarithm.  Evaluate logarithms whose base is neither 10 nor e (use the change of base formula).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 Same as above.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:rsidR="00FE4052" w:rsidRDefault="004550A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Days 9-10</w:t>
            </w:r>
          </w:p>
        </w:tc>
      </w:tr>
      <w:tr w:rsidR="000639FE" w:rsidTr="000639FE">
        <w:trPr>
          <w:trHeight w:val="402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6E5E7"/>
            <w:noWrap/>
          </w:tcPr>
          <w:p w:rsidR="00FE4052" w:rsidRDefault="009829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Solve logarithmic and exponential equations with and without a graphing calculator.   </w:t>
            </w:r>
          </w:p>
          <w:p w:rsidR="00982990" w:rsidRDefault="009829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softHyphen/>
              <w:t>___________________________________________________________________________________________________________________________________</w:t>
            </w:r>
          </w:p>
          <w:p w:rsidR="00982990" w:rsidRDefault="00982990">
            <w:pPr>
              <w:pBdr>
                <w:bottom w:val="single" w:sz="12" w:space="1" w:color="auto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Financial models.  Determine future value of a lump sum.  Calculate effective rates of return.  Determine the present value of a lump sum.  Determine the rate of interest or time required to double a lump sum of money.</w:t>
            </w:r>
          </w:p>
          <w:p w:rsidR="00982990" w:rsidRDefault="009829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Find equations of populations that obey the law of uninhibited growth and populations that obey the law of uninhibited decay.  Present practical examples that illustrate Newton’s Law of Cooling.  </w:t>
            </w:r>
            <w:r w:rsidR="000639FE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Use logistic models to present examples where growth or decay is limited.  Review entire chapter and assess with chapter test.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</w:tcPr>
          <w:p w:rsidR="000639FE" w:rsidRDefault="000639FE" w:rsidP="000639FE">
            <w:pPr>
              <w:pBdr>
                <w:bottom w:val="single" w:sz="12" w:space="1" w:color="auto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0639FE" w:rsidRPr="000639FE" w:rsidRDefault="000639FE" w:rsidP="000639FE">
            <w:pPr>
              <w:pBdr>
                <w:bottom w:val="single" w:sz="12" w:space="1" w:color="auto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>__Same as above________________</w:t>
            </w:r>
          </w:p>
          <w:p w:rsidR="000639FE" w:rsidRDefault="000639FE" w:rsidP="000639FE">
            <w:pPr>
              <w:pBdr>
                <w:bottom w:val="single" w:sz="12" w:space="1" w:color="auto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0639FE" w:rsidRDefault="000639FE" w:rsidP="000639FE">
            <w:pPr>
              <w:pBdr>
                <w:bottom w:val="single" w:sz="12" w:space="1" w:color="auto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               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:rsidR="00982990" w:rsidRDefault="00982990">
            <w:pPr>
              <w:pBdr>
                <w:bottom w:val="single" w:sz="12" w:space="1" w:color="auto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FE4052" w:rsidRDefault="00982990">
            <w:pPr>
              <w:pBdr>
                <w:bottom w:val="single" w:sz="12" w:space="1" w:color="auto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Days 11-12</w:t>
            </w:r>
          </w:p>
          <w:p w:rsidR="00982990" w:rsidRDefault="00982990" w:rsidP="000639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0639FE" w:rsidRDefault="000639FE" w:rsidP="000639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>_Day 13_____</w:t>
            </w:r>
          </w:p>
          <w:p w:rsidR="000639FE" w:rsidRDefault="000639FE" w:rsidP="000639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</w:pPr>
          </w:p>
          <w:p w:rsidR="000639FE" w:rsidRPr="000639FE" w:rsidRDefault="000639FE" w:rsidP="000639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>_Days 14-15</w:t>
            </w:r>
          </w:p>
        </w:tc>
      </w:tr>
      <w:tr w:rsidR="00FE4052" w:rsidTr="00982990">
        <w:trPr>
          <w:trHeight w:val="795"/>
        </w:trPr>
        <w:tc>
          <w:tcPr>
            <w:tcW w:w="1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Differentiated Instruction Opportunities/Overview: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Hands-on activities primarily using graphing calculators.  This will enable students to clearly recognize the appearances of different types of functions and to become adept at visual analysis.</w:t>
            </w:r>
          </w:p>
        </w:tc>
      </w:tr>
      <w:tr w:rsidR="00FE4052" w:rsidTr="00982990">
        <w:trPr>
          <w:trHeight w:val="390"/>
        </w:trPr>
        <w:tc>
          <w:tcPr>
            <w:tcW w:w="1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4D79B"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</w:rPr>
              <w:t xml:space="preserve">Cross Curricular Opportunities:  </w:t>
            </w:r>
            <w:r w:rsidR="0045583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When students use Newton’s Law of Cooling, which states that the temperature of a heated object decreases exponentially over time toward the temperature of the surrounding medium,  they are solving problems that introduce them to principles covered in Physics and Calculus</w:t>
            </w:r>
            <w:r w:rsidR="0097019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639FE" w:rsidTr="00982990">
        <w:trPr>
          <w:trHeight w:val="48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</w:rPr>
              <w:t>Standard Number</w:t>
            </w: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</w:rPr>
              <w:t>Standard Description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Date</w:t>
            </w:r>
          </w:p>
        </w:tc>
      </w:tr>
      <w:tr w:rsidR="00982990" w:rsidTr="0098299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hideMark/>
          </w:tcPr>
          <w:p w:rsidR="00FE4052" w:rsidRDefault="004558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 w:rsidR="002F404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M.C.5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hideMark/>
          </w:tcPr>
          <w:p w:rsidR="00FE4052" w:rsidRDefault="00970195" w:rsidP="004558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Physics/Calculus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FE4052" w:rsidRDefault="002F4049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Investigate and apply the definition of the derivative graphically, numerically, and analytically at a point, conceptually interpreting the derivative as an instantaneous </w:t>
            </w:r>
            <w:r>
              <w:rPr>
                <w:rFonts w:cs="Arial"/>
              </w:rPr>
              <w:lastRenderedPageBreak/>
              <w:t>rate of change and the slope of the tangent line.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 Teacher, Smartboard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hideMark/>
          </w:tcPr>
          <w:p w:rsidR="00FE4052" w:rsidRDefault="002F4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Days 14-15</w:t>
            </w:r>
          </w:p>
        </w:tc>
      </w:tr>
      <w:tr w:rsidR="00982990" w:rsidTr="0098299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990" w:rsidTr="00982990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hideMark/>
          </w:tcPr>
          <w:p w:rsidR="00FE4052" w:rsidRDefault="00FE40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9FE" w:rsidTr="00982990">
        <w:trPr>
          <w:trHeight w:val="600"/>
        </w:trPr>
        <w:tc>
          <w:tcPr>
            <w:tcW w:w="115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Mathematical Practice Standards - 8 Progressions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Check all the Apply</w:t>
            </w:r>
          </w:p>
        </w:tc>
      </w:tr>
      <w:tr w:rsidR="000639FE" w:rsidTr="00982990">
        <w:trPr>
          <w:trHeight w:val="42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Make sense of problems and persevere in solving them.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√</w:t>
            </w:r>
          </w:p>
        </w:tc>
      </w:tr>
      <w:tr w:rsidR="000639FE" w:rsidTr="00982990">
        <w:trPr>
          <w:trHeight w:val="42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Reason abstractly and quantitatively.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√</w:t>
            </w:r>
          </w:p>
        </w:tc>
      </w:tr>
      <w:tr w:rsidR="000639FE" w:rsidTr="00982990">
        <w:trPr>
          <w:trHeight w:val="42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0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Construct viable arguments and critique the reasoning of others.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√</w:t>
            </w:r>
          </w:p>
        </w:tc>
      </w:tr>
      <w:tr w:rsidR="000639FE" w:rsidTr="00982990">
        <w:trPr>
          <w:trHeight w:val="42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0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Model with mathematics.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√</w:t>
            </w:r>
          </w:p>
        </w:tc>
      </w:tr>
      <w:tr w:rsidR="000639FE" w:rsidTr="00982990">
        <w:trPr>
          <w:trHeight w:val="42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0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Use appropriate tools strategically.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√</w:t>
            </w:r>
          </w:p>
        </w:tc>
      </w:tr>
      <w:tr w:rsidR="000639FE" w:rsidTr="00982990">
        <w:trPr>
          <w:trHeight w:val="42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0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Attend to precision.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√</w:t>
            </w:r>
          </w:p>
        </w:tc>
      </w:tr>
      <w:tr w:rsidR="000639FE" w:rsidTr="00982990">
        <w:trPr>
          <w:trHeight w:val="42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0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Look for and make use of structure.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√</w:t>
            </w:r>
          </w:p>
        </w:tc>
      </w:tr>
      <w:tr w:rsidR="000639FE" w:rsidTr="00982990">
        <w:trPr>
          <w:trHeight w:val="42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0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Look for and express regularity in repeated reasoning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FE4052" w:rsidRDefault="00FE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√</w:t>
            </w:r>
          </w:p>
        </w:tc>
      </w:tr>
      <w:tr w:rsidR="00FE4052" w:rsidTr="00982990">
        <w:trPr>
          <w:trHeight w:val="300"/>
        </w:trPr>
        <w:tc>
          <w:tcPr>
            <w:tcW w:w="1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bottom"/>
            <w:hideMark/>
          </w:tcPr>
          <w:p w:rsidR="00FE4052" w:rsidRDefault="00FE40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color w:val="000000" w:themeColor="text1"/>
              </w:rPr>
              <w:t>Summary of unit upon completion</w:t>
            </w:r>
          </w:p>
        </w:tc>
      </w:tr>
      <w:tr w:rsidR="00FE4052" w:rsidTr="00982990">
        <w:trPr>
          <w:trHeight w:val="450"/>
        </w:trPr>
        <w:tc>
          <w:tcPr>
            <w:tcW w:w="12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FE4052" w:rsidRDefault="00FE4052" w:rsidP="002F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Students have looked at two general classes of fu</w:t>
            </w:r>
            <w:r w:rsidR="000639FE">
              <w:rPr>
                <w:rFonts w:ascii="Times New Roman" w:eastAsia="Times New Roman" w:hAnsi="Times New Roman" w:cs="Times New Roman"/>
                <w:color w:val="000000"/>
              </w:rPr>
              <w:t>nctions (exponential and logarithmic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functions) and have ex</w:t>
            </w:r>
            <w:r w:rsidR="002F4049">
              <w:rPr>
                <w:rFonts w:ascii="Times New Roman" w:eastAsia="Times New Roman" w:hAnsi="Times New Roman" w:cs="Times New Roman"/>
                <w:color w:val="000000"/>
              </w:rPr>
              <w:t>amined their properties.  Exponential and Logarithmic functions are often used as models in the financial world and in the world of physical science.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Students h</w:t>
            </w:r>
            <w:r w:rsidR="004B0E44">
              <w:rPr>
                <w:rFonts w:ascii="Times New Roman" w:eastAsia="Times New Roman" w:hAnsi="Times New Roman" w:cs="Times New Roman"/>
                <w:color w:val="000000"/>
              </w:rPr>
              <w:t>ave mastered the analysis of these transcendental functions (functions that go beyond algebraic functions).</w:t>
            </w:r>
            <w:bookmarkStart w:id="0" w:name="_GoBack"/>
            <w:bookmarkEnd w:id="0"/>
          </w:p>
        </w:tc>
      </w:tr>
      <w:tr w:rsidR="00FE4052" w:rsidTr="00982990">
        <w:trPr>
          <w:trHeight w:val="4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2" w:rsidRDefault="00FE40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4052" w:rsidTr="00982990">
        <w:trPr>
          <w:trHeight w:val="4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2" w:rsidRDefault="00FE40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4052" w:rsidTr="00982990">
        <w:trPr>
          <w:trHeight w:val="4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2" w:rsidRDefault="00FE40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4052" w:rsidTr="00982990">
        <w:trPr>
          <w:trHeight w:val="4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2" w:rsidRDefault="00FE40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4052" w:rsidTr="00982990">
        <w:trPr>
          <w:trHeight w:val="4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2" w:rsidRDefault="00FE40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E4052" w:rsidRDefault="00FE4052" w:rsidP="00FE4052"/>
    <w:p w:rsidR="00FE4052" w:rsidRDefault="00FE4052" w:rsidP="00FE4052"/>
    <w:p w:rsidR="00FE4052" w:rsidRDefault="00FE4052" w:rsidP="00FE4052"/>
    <w:p w:rsidR="00FE4052" w:rsidRDefault="00FE4052" w:rsidP="00FE4052"/>
    <w:p w:rsidR="00FE4052" w:rsidRDefault="00FE4052" w:rsidP="00FE4052"/>
    <w:p w:rsidR="006616FE" w:rsidRDefault="006616FE"/>
    <w:sectPr w:rsidR="006616FE" w:rsidSect="00FE40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3821"/>
    <w:multiLevelType w:val="hybridMultilevel"/>
    <w:tmpl w:val="2010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52"/>
    <w:rsid w:val="000639FE"/>
    <w:rsid w:val="0017764A"/>
    <w:rsid w:val="002F4049"/>
    <w:rsid w:val="004550AC"/>
    <w:rsid w:val="00455837"/>
    <w:rsid w:val="004B0E44"/>
    <w:rsid w:val="006616FE"/>
    <w:rsid w:val="00970195"/>
    <w:rsid w:val="00982990"/>
    <w:rsid w:val="00B512B7"/>
    <w:rsid w:val="00C42ED9"/>
    <w:rsid w:val="00F26B3A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F0F67-FF1C-4258-9F42-790CBED7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Dailey</dc:creator>
  <cp:keywords/>
  <dc:description/>
  <cp:lastModifiedBy>Mary Dailey</cp:lastModifiedBy>
  <cp:revision>6</cp:revision>
  <dcterms:created xsi:type="dcterms:W3CDTF">2017-03-23T17:37:00Z</dcterms:created>
  <dcterms:modified xsi:type="dcterms:W3CDTF">2017-03-28T14:36:00Z</dcterms:modified>
</cp:coreProperties>
</file>