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2660.0" w:type="dxa"/>
        <w:jc w:val="left"/>
        <w:tblInd w:w="-24.000000000000004" w:type="dxa"/>
        <w:tblLayout w:type="fixed"/>
        <w:tblLook w:val="0400"/>
      </w:tblPr>
      <w:tblGrid>
        <w:gridCol w:w="1160"/>
        <w:gridCol w:w="2080"/>
        <w:gridCol w:w="5595"/>
        <w:gridCol w:w="2625"/>
        <w:gridCol w:w="1200"/>
        <w:tblGridChange w:id="0">
          <w:tblGrid>
            <w:gridCol w:w="1160"/>
            <w:gridCol w:w="2080"/>
            <w:gridCol w:w="5595"/>
            <w:gridCol w:w="2625"/>
            <w:gridCol w:w="1200"/>
          </w:tblGrid>
        </w:tblGridChange>
      </w:tblGrid>
      <w:tr>
        <w:trPr>
          <w:trHeight w:val="600" w:hRule="atLeast"/>
        </w:trPr>
        <w:tc>
          <w:tcPr>
            <w:gridSpan w:val="5"/>
            <w:tcBorders>
              <w:top w:color="000000" w:space="0" w:sz="4" w:val="single"/>
              <w:left w:color="000000" w:space="0" w:sz="4" w:val="single"/>
              <w:bottom w:color="000000" w:space="0" w:sz="4" w:val="single"/>
              <w:right w:color="000000" w:space="0" w:sz="4" w:val="single"/>
            </w:tcBorders>
            <w:shd w:fill="538ed5"/>
            <w:vAlign w:val="center"/>
          </w:tcPr>
          <w:p w:rsidR="00000000" w:rsidDel="00000000" w:rsidP="00000000" w:rsidRDefault="00000000" w:rsidRPr="00000000">
            <w:pPr>
              <w:pBdr/>
              <w:spacing w:after="0" w:line="240" w:lineRule="auto"/>
              <w:contextualSpacing w:val="0"/>
              <w:jc w:val="center"/>
              <w:rPr>
                <w:color w:val="000000"/>
                <w:sz w:val="48"/>
                <w:szCs w:val="48"/>
              </w:rPr>
            </w:pPr>
            <w:r w:rsidDel="00000000" w:rsidR="00000000" w:rsidRPr="00000000">
              <w:rPr>
                <w:color w:val="000000"/>
                <w:sz w:val="48"/>
                <w:szCs w:val="48"/>
                <w:rtl w:val="0"/>
              </w:rPr>
              <w:t xml:space="preserve">Diocese of Wheeling-Charleston </w:t>
            </w:r>
          </w:p>
        </w:tc>
      </w:tr>
      <w:tr>
        <w:trPr>
          <w:trHeight w:val="460" w:hRule="atLeast"/>
        </w:trPr>
        <w:tc>
          <w:tcPr>
            <w:gridSpan w:val="5"/>
            <w:tcBorders>
              <w:top w:color="000000" w:space="0" w:sz="4" w:val="single"/>
              <w:left w:color="000000" w:space="0" w:sz="4" w:val="single"/>
              <w:bottom w:color="000000" w:space="0" w:sz="4" w:val="single"/>
              <w:right w:color="000000" w:space="0" w:sz="4" w:val="single"/>
            </w:tcBorders>
            <w:shd w:fill="95b3d7"/>
            <w:vAlign w:val="bottom"/>
          </w:tcPr>
          <w:p w:rsidR="00000000" w:rsidDel="00000000" w:rsidP="00000000" w:rsidRDefault="00000000" w:rsidRPr="00000000">
            <w:pPr>
              <w:pBdr/>
              <w:spacing w:after="0" w:line="240" w:lineRule="auto"/>
              <w:contextualSpacing w:val="0"/>
              <w:jc w:val="center"/>
              <w:rPr>
                <w:color w:val="000000"/>
                <w:sz w:val="36"/>
                <w:szCs w:val="36"/>
              </w:rPr>
            </w:pPr>
            <w:r w:rsidDel="00000000" w:rsidR="00000000" w:rsidRPr="00000000">
              <w:rPr>
                <w:color w:val="000000"/>
                <w:sz w:val="36"/>
                <w:szCs w:val="36"/>
                <w:rtl w:val="0"/>
              </w:rPr>
              <w:t xml:space="preserve">Unit Planner</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Name of Teacher:  </w:t>
            </w:r>
            <w:r w:rsidDel="00000000" w:rsidR="00000000" w:rsidRPr="00000000">
              <w:rPr>
                <w:sz w:val="24"/>
                <w:szCs w:val="24"/>
                <w:rtl w:val="0"/>
              </w:rPr>
              <w:t xml:space="preserve">Christi Greathouse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be5f1"/>
            <w:vAlign w:val="bottom"/>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Grade Level:  </w:t>
            </w:r>
            <w:r w:rsidDel="00000000" w:rsidR="00000000" w:rsidRPr="00000000">
              <w:rPr>
                <w:sz w:val="24"/>
                <w:szCs w:val="24"/>
                <w:rtl w:val="0"/>
              </w:rPr>
              <w:t xml:space="preserve">8</w:t>
            </w:r>
            <w:r w:rsidDel="00000000" w:rsidR="00000000" w:rsidRPr="00000000">
              <w:rPr>
                <w:rtl w:val="0"/>
              </w:rPr>
            </w:r>
          </w:p>
        </w:tc>
      </w:tr>
      <w:tr>
        <w:trPr>
          <w:trHeight w:val="420" w:hRule="atLeast"/>
        </w:trPr>
        <w:tc>
          <w:tcPr>
            <w:gridSpan w:val="3"/>
            <w:tcBorders>
              <w:top w:color="000000" w:space="0" w:sz="4" w:val="single"/>
              <w:left w:color="000000" w:space="0" w:sz="4" w:val="single"/>
              <w:bottom w:color="000000" w:space="0" w:sz="0" w:val="nil"/>
              <w:right w:color="000000" w:space="0" w:sz="0" w:val="nil"/>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Subject Area: Middle School </w:t>
            </w:r>
            <w:r w:rsidDel="00000000" w:rsidR="00000000" w:rsidRPr="00000000">
              <w:rPr>
                <w:sz w:val="24"/>
                <w:szCs w:val="24"/>
                <w:rtl w:val="0"/>
              </w:rPr>
              <w:t xml:space="preserve">Health</w:t>
            </w: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Cross Curricular Opportunities: </w:t>
              <w:br w:type="textWrapping"/>
            </w:r>
            <w:r w:rsidDel="00000000" w:rsidR="00000000" w:rsidRPr="00000000">
              <w:rPr>
                <w:sz w:val="24"/>
                <w:szCs w:val="24"/>
                <w:rtl w:val="0"/>
              </w:rPr>
              <w:t xml:space="preserve">Music, Art, Math, English</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Unit Title: </w:t>
            </w:r>
            <w:r w:rsidDel="00000000" w:rsidR="00000000" w:rsidRPr="00000000">
              <w:rPr>
                <w:sz w:val="24"/>
                <w:szCs w:val="24"/>
                <w:rtl w:val="0"/>
              </w:rPr>
              <w:t xml:space="preserve">Drug Free Hand Puppet Show</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Estimated Duration of Unit: </w:t>
            </w:r>
            <w:r w:rsidDel="00000000" w:rsidR="00000000" w:rsidRPr="00000000">
              <w:rPr>
                <w:sz w:val="24"/>
                <w:szCs w:val="24"/>
                <w:rtl w:val="0"/>
              </w:rPr>
              <w:t xml:space="preserve">3 weeks</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tl w:val="0"/>
              </w:rPr>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Overview of Unit: U</w:t>
            </w:r>
            <w:r w:rsidDel="00000000" w:rsidR="00000000" w:rsidRPr="00000000">
              <w:rPr>
                <w:sz w:val="24"/>
                <w:szCs w:val="24"/>
                <w:rtl w:val="0"/>
              </w:rPr>
              <w:t xml:space="preserve">pon completion of the unit, the students will identify the short and long term effects that drugs have on the body. Students create a hand puppet show about the dangers of drug use. </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Forms of Text (non fiction/fiction):  drug pamphlets, drug websites</w:t>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br w:type="textWrapping"/>
            </w:r>
          </w:p>
        </w:tc>
        <w:tc>
          <w:tcPr>
            <w:gridSpan w:val="2"/>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Teaching Strategies: </w:t>
            </w:r>
            <w:r w:rsidDel="00000000" w:rsidR="00000000" w:rsidRPr="00000000">
              <w:rPr>
                <w:sz w:val="24"/>
                <w:szCs w:val="24"/>
                <w:rtl w:val="0"/>
              </w:rPr>
              <w:t xml:space="preserve">Researching, Planning,  Self-Evaluation, Collaboration and Cooperation.</w:t>
            </w:r>
            <w:r w:rsidDel="00000000" w:rsidR="00000000" w:rsidRPr="00000000">
              <w:rPr>
                <w:rtl w:val="0"/>
              </w:rPr>
            </w:r>
          </w:p>
        </w:tc>
      </w:tr>
      <w:tr>
        <w:trPr>
          <w:trHeight w:val="460" w:hRule="atLeast"/>
        </w:trPr>
        <w:tc>
          <w:tcPr>
            <w:gridSpan w:val="5"/>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Catholic Identity Connections: </w:t>
            </w:r>
            <w:r w:rsidDel="00000000" w:rsidR="00000000" w:rsidRPr="00000000">
              <w:rPr>
                <w:sz w:val="24"/>
                <w:szCs w:val="24"/>
                <w:rtl w:val="0"/>
              </w:rPr>
              <w:t xml:space="preserve">Your body should be treated like a temple.</w:t>
            </w:r>
            <w:r w:rsidDel="00000000" w:rsidR="00000000" w:rsidRPr="00000000">
              <w:rPr>
                <w:rtl w:val="0"/>
              </w:rPr>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Assessment (authentic/published - summative/formative):  </w:t>
            </w:r>
          </w:p>
        </w:tc>
      </w:tr>
      <w:tr>
        <w:trPr>
          <w:trHeight w:val="340" w:hRule="atLeast"/>
        </w:trPr>
        <w:tc>
          <w:tcPr>
            <w:gridSpan w:val="5"/>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jc w:val="center"/>
              <w:rPr>
                <w:b w:val="1"/>
                <w:color w:val="000000"/>
                <w:sz w:val="24"/>
                <w:szCs w:val="24"/>
              </w:rPr>
            </w:pPr>
            <w:r w:rsidDel="00000000" w:rsidR="00000000" w:rsidRPr="00000000">
              <w:rPr>
                <w:b w:val="1"/>
                <w:color w:val="000000"/>
                <w:sz w:val="24"/>
                <w:szCs w:val="24"/>
                <w:rtl w:val="0"/>
              </w:rPr>
              <w:t xml:space="preserve">Standards Addressed</w:t>
            </w:r>
          </w:p>
        </w:tc>
      </w:tr>
      <w:tr>
        <w:trPr>
          <w:trHeight w:val="500" w:hRule="atLeast"/>
        </w:trPr>
        <w:tc>
          <w:tcPr>
            <w:tcBorders>
              <w:top w:color="000000" w:space="0" w:sz="0" w:val="nil"/>
              <w:left w:color="000000" w:space="0" w:sz="4" w:val="single"/>
              <w:bottom w:color="000000" w:space="0" w:sz="4" w:val="single"/>
              <w:right w:color="000000" w:space="0" w:sz="0" w:val="nil"/>
            </w:tcBorders>
            <w:shd w:fill="dbe5f1"/>
          </w:tcPr>
          <w:p w:rsidR="00000000" w:rsidDel="00000000" w:rsidP="00000000" w:rsidRDefault="00000000" w:rsidRPr="00000000">
            <w:pPr>
              <w:pBdr/>
              <w:spacing w:after="0" w:line="240" w:lineRule="auto"/>
              <w:contextualSpacing w:val="0"/>
              <w:rPr>
                <w:color w:val="000000"/>
                <w:sz w:val="20"/>
                <w:szCs w:val="20"/>
              </w:rPr>
            </w:pPr>
            <w:r w:rsidDel="00000000" w:rsidR="00000000" w:rsidRPr="00000000">
              <w:rPr>
                <w:color w:val="000000"/>
                <w:sz w:val="20"/>
                <w:szCs w:val="20"/>
                <w:rtl w:val="0"/>
              </w:rPr>
              <w:t xml:space="preserve">Standard Number</w:t>
            </w:r>
          </w:p>
        </w:tc>
        <w:tc>
          <w:tcPr>
            <w:gridSpan w:val="4"/>
            <w:tcBorders>
              <w:top w:color="000000" w:space="0" w:sz="4" w:val="single"/>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000000"/>
                <w:sz w:val="24"/>
                <w:szCs w:val="24"/>
                <w:rtl w:val="0"/>
              </w:rPr>
              <w:t xml:space="preserve">Standards</w:t>
            </w:r>
          </w:p>
        </w:tc>
      </w:tr>
      <w:tr>
        <w:trPr>
          <w:trHeight w:val="240" w:hRule="atLeast"/>
        </w:trPr>
        <w:tc>
          <w:tcPr>
            <w:tcBorders>
              <w:top w:color="000000" w:space="0" w:sz="0" w:val="nil"/>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0"/>
                <w:szCs w:val="20"/>
              </w:rPr>
            </w:pPr>
            <w:r w:rsidDel="00000000" w:rsidR="00000000" w:rsidRPr="00000000">
              <w:rPr>
                <w:rFonts w:ascii="Times New Roman" w:cs="Times New Roman" w:eastAsia="Times New Roman" w:hAnsi="Times New Roman"/>
                <w:rtl w:val="0"/>
              </w:rPr>
              <w:t xml:space="preserve">HE.8.4.04</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Fonts w:ascii="Times New Roman" w:cs="Times New Roman" w:eastAsia="Times New Roman" w:hAnsi="Times New Roman"/>
                <w:rtl w:val="0"/>
              </w:rPr>
              <w:t xml:space="preserve">compare and contrast various refusal and negotiation skills to avoid or reduce risky and harmful health behaviors (e.g., pregnancy, drunk driving, STDs, dating violence, harassment, alcohol, tobacco, and other drugs).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0"/>
                <w:szCs w:val="20"/>
              </w:rPr>
            </w:pPr>
            <w:r w:rsidDel="00000000" w:rsidR="00000000" w:rsidRPr="00000000">
              <w:rPr>
                <w:rFonts w:ascii="Times New Roman" w:cs="Times New Roman" w:eastAsia="Times New Roman" w:hAnsi="Times New Roman"/>
                <w:rtl w:val="0"/>
              </w:rPr>
              <w:t xml:space="preserve">HE.8.8.03</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Fonts w:ascii="Times New Roman" w:cs="Times New Roman" w:eastAsia="Times New Roman" w:hAnsi="Times New Roman"/>
                <w:rtl w:val="0"/>
              </w:rPr>
              <w:t xml:space="preserve">explain how to encourage others to make positive health choices (e.g., by example, making positive choices).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0"/>
                <w:szCs w:val="20"/>
              </w:rPr>
            </w:pPr>
            <w:r w:rsidDel="00000000" w:rsidR="00000000" w:rsidRPr="00000000">
              <w:rPr>
                <w:rFonts w:ascii="Times New Roman" w:cs="Times New Roman" w:eastAsia="Times New Roman" w:hAnsi="Times New Roman"/>
                <w:rtl w:val="0"/>
              </w:rPr>
              <w:t xml:space="preserve">HE.8.8.02</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Fonts w:ascii="Times New Roman" w:cs="Times New Roman" w:eastAsia="Times New Roman" w:hAnsi="Times New Roman"/>
                <w:rtl w:val="0"/>
              </w:rPr>
              <w:t xml:space="preserve">identify ways in which health messages and communication techniques can be altered for different audiences (e.g., age, gender, life experiences).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0"/>
                <w:szCs w:val="2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dbe5f1"/>
          </w:tcPr>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tl w:val="0"/>
              </w:rPr>
            </w:r>
          </w:p>
        </w:tc>
      </w:tr>
      <w:tr>
        <w:trPr>
          <w:trHeight w:val="480" w:hRule="atLeast"/>
        </w:trPr>
        <w:tc>
          <w:tcPr>
            <w:gridSpan w:val="3"/>
            <w:tcBorders>
              <w:top w:color="000000" w:space="0" w:sz="4" w:val="single"/>
              <w:left w:color="000000" w:space="0" w:sz="4" w:val="single"/>
              <w:bottom w:color="000000" w:space="0" w:sz="4" w:val="single"/>
              <w:right w:color="000000" w:space="0" w:sz="4" w:val="single"/>
            </w:tcBorders>
            <w:shd w:fill="e5e0ec"/>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Description of Activity</w:t>
            </w:r>
          </w:p>
        </w:tc>
        <w:tc>
          <w:tcPr>
            <w:tcBorders>
              <w:top w:color="000000" w:space="0" w:sz="0" w:val="nil"/>
              <w:left w:color="000000" w:space="0" w:sz="0" w:val="nil"/>
              <w:bottom w:color="000000" w:space="0" w:sz="4" w:val="single"/>
              <w:right w:color="000000" w:space="0" w:sz="4" w:val="single"/>
            </w:tcBorders>
            <w:shd w:fill="e5e0ec"/>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Resources </w:t>
            </w:r>
          </w:p>
        </w:tc>
        <w:tc>
          <w:tcPr>
            <w:tcBorders>
              <w:top w:color="000000" w:space="0" w:sz="0" w:val="nil"/>
              <w:left w:color="000000" w:space="0" w:sz="0" w:val="nil"/>
              <w:bottom w:color="000000" w:space="0" w:sz="4" w:val="single"/>
              <w:right w:color="000000" w:space="0" w:sz="4" w:val="single"/>
            </w:tcBorders>
            <w:shd w:fill="e5e0ec"/>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Date of Completion</w:t>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e6e5e7"/>
          </w:tcPr>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Remind students that using drugs is a choice and there are many factors that affect whether or not students choose to use drugs. Ask students to list some of those influences and add the ones they do not get.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students work together as a group to complete all of the assigned tasks. </w:t>
            </w:r>
          </w:p>
          <w:p w:rsidR="00000000" w:rsidDel="00000000" w:rsidP="00000000" w:rsidRDefault="00000000" w:rsidRPr="00000000">
            <w:pPr>
              <w:pBdr/>
              <w:contextualSpacing w:val="0"/>
              <w:rPr/>
            </w:pPr>
            <w:r w:rsidDel="00000000" w:rsidR="00000000" w:rsidRPr="00000000">
              <w:rPr>
                <w:rtl w:val="0"/>
              </w:rPr>
              <w:t xml:space="preserve">The tasks include: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Research the types of drugs, and the dangers they have on the brain.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Come up with the names of the superhero and villain puppets, and how the show can relate to the elementary audience.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Differentiate how the good guys will look from the bad guys.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Design the logos for the capes.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Cut out the designs, and sew or glue them on the capes.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Utilize facts found during research in handwritten student generated script.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Role playing will demonstrate a the dangers of drug use and also provide a positive atmosphere that will influence students not to use drugs.  </w:t>
            </w:r>
          </w:p>
          <w:p w:rsidR="00000000" w:rsidDel="00000000" w:rsidP="00000000" w:rsidRDefault="00000000" w:rsidRPr="00000000">
            <w:pPr>
              <w:pBdr/>
              <w:contextualSpacing w:val="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sz w:val="18"/>
                <w:szCs w:val="18"/>
              </w:rPr>
            </w:pPr>
            <w:r w:rsidDel="00000000" w:rsidR="00000000" w:rsidRPr="00000000">
              <w:rPr>
                <w:sz w:val="18"/>
                <w:szCs w:val="18"/>
                <w:rtl w:val="0"/>
              </w:rPr>
              <w:t xml:space="preserve">drugfreeworld.org</w:t>
            </w:r>
          </w:p>
          <w:p w:rsidR="00000000" w:rsidDel="00000000" w:rsidP="00000000" w:rsidRDefault="00000000" w:rsidRPr="00000000">
            <w:pPr>
              <w:pBdr/>
              <w:spacing w:after="0" w:line="240" w:lineRule="auto"/>
              <w:contextualSpacing w:val="0"/>
              <w:rPr>
                <w:sz w:val="18"/>
                <w:szCs w:val="18"/>
              </w:rPr>
            </w:pPr>
            <w:r w:rsidDel="00000000" w:rsidR="00000000" w:rsidRPr="00000000">
              <w:rPr>
                <w:sz w:val="18"/>
                <w:szCs w:val="18"/>
                <w:rtl w:val="0"/>
              </w:rPr>
              <w:t xml:space="preserve">abovetheinfluence.com</w:t>
            </w:r>
          </w:p>
          <w:p w:rsidR="00000000" w:rsidDel="00000000" w:rsidP="00000000" w:rsidRDefault="00000000" w:rsidRPr="00000000">
            <w:pPr>
              <w:pBdr/>
              <w:spacing w:after="0" w:line="240" w:lineRule="auto"/>
              <w:contextualSpacing w:val="0"/>
              <w:rPr>
                <w:sz w:val="18"/>
                <w:szCs w:val="18"/>
              </w:rPr>
            </w:pPr>
            <w:r w:rsidDel="00000000" w:rsidR="00000000" w:rsidRPr="00000000">
              <w:rPr>
                <w:sz w:val="18"/>
                <w:szCs w:val="18"/>
                <w:rtl w:val="0"/>
              </w:rPr>
              <w:t xml:space="preserve">drug pamphlets</w:t>
            </w:r>
          </w:p>
          <w:p w:rsidR="00000000" w:rsidDel="00000000" w:rsidP="00000000" w:rsidRDefault="00000000" w:rsidRPr="00000000">
            <w:pPr>
              <w:pBdr/>
              <w:spacing w:after="0" w:line="240" w:lineRule="auto"/>
              <w:contextualSpacing w:val="0"/>
              <w:rPr>
                <w:sz w:val="18"/>
                <w:szCs w:val="18"/>
              </w:rPr>
            </w:pPr>
            <w:r w:rsidDel="00000000" w:rsidR="00000000" w:rsidRPr="00000000">
              <w:rPr>
                <w:sz w:val="18"/>
                <w:szCs w:val="18"/>
                <w:rtl w:val="0"/>
              </w:rPr>
              <w:t xml:space="preserve">Direct teaching</w:t>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ind w:left="720" w:firstLine="0"/>
              <w:contextualSpacing w:val="0"/>
              <w:rPr>
                <w:color w:val="000000"/>
                <w:sz w:val="18"/>
                <w:szCs w:val="18"/>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After making puppets and role playing, we used self-evaluation techniques to ascertain what students gained from this activity, such as the short and long term effects of drug use, sewing, learning how to modify material and collaborative cooperative learning.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jc w:val="center"/>
              <w:rPr>
                <w:color w:val="000000"/>
                <w:sz w:val="18"/>
                <w:szCs w:val="18"/>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 </w:t>
            </w:r>
          </w:p>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  </w:t>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e6e5e7"/>
          </w:tcPr>
          <w:p w:rsidR="00000000" w:rsidDel="00000000" w:rsidP="00000000" w:rsidRDefault="00000000" w:rsidRPr="00000000">
            <w:pPr>
              <w:pBdr/>
              <w:contextualSpacing w:val="0"/>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 </w:t>
            </w:r>
          </w:p>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e6e5e7"/>
          </w:tcPr>
          <w:p w:rsidR="00000000" w:rsidDel="00000000" w:rsidP="00000000" w:rsidRDefault="00000000" w:rsidRPr="00000000">
            <w:pPr>
              <w:pBdr/>
              <w:contextualSpacing w:val="0"/>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e6e5e7"/>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rtl w:val="0"/>
              </w:rPr>
            </w:r>
          </w:p>
        </w:tc>
      </w:tr>
      <w:tr>
        <w:trPr>
          <w:trHeight w:val="420" w:hRule="atLeast"/>
        </w:trPr>
        <w:tc>
          <w:tcPr>
            <w:gridSpan w:val="5"/>
            <w:tcBorders>
              <w:top w:color="000000" w:space="0" w:sz="4" w:val="single"/>
              <w:left w:color="000000" w:space="0" w:sz="4" w:val="single"/>
              <w:bottom w:color="000000" w:space="0" w:sz="4" w:val="single"/>
              <w:right w:color="000000" w:space="0" w:sz="4" w:val="single"/>
            </w:tcBorders>
            <w:shd w:fill="fde9d9"/>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Differentiated Instruction Opportunities/Overview:  </w:t>
            </w:r>
          </w:p>
        </w:tc>
      </w:tr>
      <w:tr>
        <w:trPr>
          <w:trHeight w:val="380" w:hRule="atLeast"/>
        </w:trPr>
        <w:tc>
          <w:tcPr>
            <w:gridSpan w:val="5"/>
            <w:tcBorders>
              <w:top w:color="000000" w:space="0" w:sz="4" w:val="single"/>
              <w:left w:color="000000" w:space="0" w:sz="4" w:val="single"/>
              <w:bottom w:color="000000" w:space="0" w:sz="4" w:val="single"/>
              <w:right w:color="000000" w:space="0" w:sz="4" w:val="single"/>
            </w:tcBorders>
            <w:shd w:fill="c2d69a"/>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Cross Curricular Opportunities: </w:t>
            </w:r>
          </w:p>
        </w:tc>
      </w:tr>
      <w:tr>
        <w:trPr>
          <w:trHeight w:val="480" w:hRule="atLeast"/>
        </w:trPr>
        <w:tc>
          <w:tcPr>
            <w:tcBorders>
              <w:top w:color="000000" w:space="0" w:sz="0" w:val="nil"/>
              <w:left w:color="000000" w:space="0" w:sz="4" w:val="single"/>
              <w:bottom w:color="000000" w:space="0" w:sz="4" w:val="single"/>
              <w:right w:color="000000" w:space="0" w:sz="4" w:val="single"/>
            </w:tcBorders>
            <w:shd w:fill="eaf1dd"/>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Standard Number</w:t>
            </w:r>
          </w:p>
        </w:tc>
        <w:tc>
          <w:tcPr>
            <w:gridSpan w:val="2"/>
            <w:tcBorders>
              <w:top w:color="000000" w:space="0" w:sz="4" w:val="single"/>
              <w:left w:color="000000" w:space="0" w:sz="0" w:val="nil"/>
              <w:bottom w:color="000000" w:space="0" w:sz="4" w:val="single"/>
              <w:right w:color="000000" w:space="0" w:sz="4" w:val="single"/>
            </w:tcBorders>
            <w:shd w:fill="eaf1dd"/>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Standard Description</w:t>
            </w:r>
          </w:p>
        </w:tc>
        <w:tc>
          <w:tcPr>
            <w:tcBorders>
              <w:top w:color="000000" w:space="0" w:sz="0" w:val="nil"/>
              <w:left w:color="000000" w:space="0" w:sz="0" w:val="nil"/>
              <w:bottom w:color="000000" w:space="0" w:sz="4" w:val="single"/>
              <w:right w:color="000000" w:space="0" w:sz="4" w:val="single"/>
            </w:tcBorders>
            <w:shd w:fill="eaf1dd"/>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Resources</w:t>
            </w:r>
          </w:p>
        </w:tc>
        <w:tc>
          <w:tcPr>
            <w:tcBorders>
              <w:top w:color="000000" w:space="0" w:sz="0" w:val="nil"/>
              <w:left w:color="000000" w:space="0" w:sz="0" w:val="nil"/>
              <w:bottom w:color="000000" w:space="0" w:sz="4" w:val="single"/>
              <w:right w:color="000000" w:space="0" w:sz="4" w:val="single"/>
            </w:tcBorders>
            <w:shd w:fill="eaf1dd"/>
          </w:tcPr>
          <w:p w:rsidR="00000000" w:rsidDel="00000000" w:rsidP="00000000" w:rsidRDefault="00000000" w:rsidRPr="00000000">
            <w:pPr>
              <w:pBdr/>
              <w:spacing w:after="0" w:line="240" w:lineRule="auto"/>
              <w:contextualSpacing w:val="0"/>
              <w:rPr>
                <w:color w:val="000000"/>
                <w:sz w:val="18"/>
                <w:szCs w:val="18"/>
              </w:rPr>
            </w:pPr>
            <w:r w:rsidDel="00000000" w:rsidR="00000000" w:rsidRPr="00000000">
              <w:rPr>
                <w:color w:val="000000"/>
                <w:sz w:val="18"/>
                <w:szCs w:val="18"/>
                <w:rtl w:val="0"/>
              </w:rPr>
              <w:t xml:space="preserve">Date</w:t>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shd w:fill="538ed5"/>
            <w:vAlign w:val="center"/>
          </w:tcPr>
          <w:p w:rsidR="00000000" w:rsidDel="00000000" w:rsidP="00000000" w:rsidRDefault="00000000" w:rsidRPr="00000000">
            <w:pPr>
              <w:pBdr/>
              <w:spacing w:after="0" w:line="240" w:lineRule="auto"/>
              <w:contextualSpacing w:val="0"/>
              <w:jc w:val="center"/>
              <w:rPr>
                <w:b w:val="1"/>
                <w:color w:val="000000"/>
                <w:sz w:val="32"/>
                <w:szCs w:val="32"/>
              </w:rPr>
            </w:pPr>
            <w:r w:rsidDel="00000000" w:rsidR="00000000" w:rsidRPr="00000000">
              <w:rPr>
                <w:b w:val="1"/>
                <w:color w:val="000000"/>
                <w:sz w:val="32"/>
                <w:szCs w:val="32"/>
                <w:rtl w:val="0"/>
              </w:rPr>
              <w:t xml:space="preserve">Common Core Checklist</w:t>
            </w:r>
          </w:p>
        </w:tc>
      </w:tr>
      <w:tr>
        <w:trPr>
          <w:trHeight w:val="300" w:hRule="atLeast"/>
        </w:trPr>
        <w:tc>
          <w:tcPr>
            <w:gridSpan w:val="5"/>
            <w:tcBorders>
              <w:top w:color="000000" w:space="0" w:sz="8" w:val="single"/>
              <w:left w:color="000000" w:space="0" w:sz="0" w:val="nil"/>
              <w:bottom w:color="000000" w:space="0" w:sz="0" w:val="nil"/>
              <w:right w:color="000000" w:space="0" w:sz="0" w:val="nil"/>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Writing</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Paragraph</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Essay (narratives, fairy tales, realistic fiction)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Summary</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X</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Research</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Detailed answers (text supported)</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Notes (note taking skills, outlines)</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X</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Complete sentences</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Reading</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X</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Informational text</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Lexile</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Complex literature</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X</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Speaking</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Listening</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Varied strategies and instructional methods</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X</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Critical thinking in whole class discussion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Student led activities</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c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common core standards (literature circles)</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ff0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Technology</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0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Smartboard</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0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Computers</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0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iPads</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000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Powerpoint, Elmo etc.</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00b0f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Differentiated Instruction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00b0f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Used multiple resources</w:t>
            </w:r>
          </w:p>
        </w:tc>
      </w:tr>
      <w:tr>
        <w:trPr>
          <w:trHeight w:val="300" w:hRule="atLeast"/>
        </w:trPr>
        <w:tc>
          <w:tcPr>
            <w:tcBorders>
              <w:top w:color="000000" w:space="0" w:sz="0" w:val="nil"/>
              <w:left w:color="000000" w:space="0" w:sz="4" w:val="single"/>
              <w:bottom w:color="000000" w:space="0" w:sz="4" w:val="single"/>
              <w:right w:color="000000" w:space="0" w:sz="4" w:val="single"/>
            </w:tcBorders>
            <w:shd w:fill="00b0f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Domain Vocabulary</w:t>
            </w:r>
          </w:p>
        </w:tc>
      </w:tr>
      <w:tr>
        <w:trPr>
          <w:trHeight w:val="300" w:hRule="atLeast"/>
        </w:trPr>
        <w:tc>
          <w:tcPr>
            <w:tcBorders>
              <w:top w:color="000000" w:space="0" w:sz="0" w:val="nil"/>
              <w:left w:color="000000" w:space="0" w:sz="4" w:val="single"/>
              <w:bottom w:color="000000" w:space="0" w:sz="4" w:val="single"/>
              <w:right w:color="000000" w:space="0" w:sz="4" w:val="single"/>
            </w:tcBorders>
            <w:shd w:fill="00b0f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X</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Cross-Curricular</w:t>
            </w:r>
          </w:p>
        </w:tc>
      </w:tr>
      <w:tr>
        <w:trPr>
          <w:trHeight w:val="300" w:hRule="atLeast"/>
        </w:trPr>
        <w:tc>
          <w:tcPr>
            <w:tcBorders>
              <w:top w:color="000000" w:space="0" w:sz="0" w:val="nil"/>
              <w:left w:color="000000" w:space="0" w:sz="4" w:val="single"/>
              <w:bottom w:color="000000" w:space="0" w:sz="4" w:val="single"/>
              <w:right w:color="000000" w:space="0" w:sz="4" w:val="single"/>
            </w:tcBorders>
            <w:shd w:fill="00b0f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Collaborative engagement (meaningful feedback)</w:t>
            </w:r>
          </w:p>
        </w:tc>
      </w:tr>
      <w:tr>
        <w:trPr>
          <w:trHeight w:val="300" w:hRule="atLeast"/>
        </w:trPr>
        <w:tc>
          <w:tcPr>
            <w:tcBorders>
              <w:top w:color="000000" w:space="0" w:sz="0" w:val="nil"/>
              <w:left w:color="000000" w:space="0" w:sz="4" w:val="single"/>
              <w:bottom w:color="000000" w:space="0" w:sz="4" w:val="single"/>
              <w:right w:color="000000" w:space="0" w:sz="4" w:val="single"/>
            </w:tcBorders>
            <w:shd w:fill="00b0f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Higher level learning and teaching</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Assessment</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Project based</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Writing prompt</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Portfolio</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Observation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Quiz</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Technology based</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Test</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Student created test</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Presentation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Journal</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Think, pair, share</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Summary</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Oral questioning</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Analogy</w:t>
            </w:r>
          </w:p>
        </w:tc>
      </w:tr>
      <w:tr>
        <w:trPr>
          <w:trHeight w:val="300" w:hRule="atLeast"/>
        </w:trPr>
        <w:tc>
          <w:tcPr>
            <w:tcBorders>
              <w:top w:color="000000" w:space="0" w:sz="0" w:val="nil"/>
              <w:left w:color="000000" w:space="0" w:sz="4" w:val="single"/>
              <w:bottom w:color="000000" w:space="0" w:sz="4" w:val="single"/>
              <w:right w:color="000000" w:space="0" w:sz="4" w:val="single"/>
            </w:tcBorders>
            <w:shd w:fill="b2a1c7"/>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Powerpoint, or movie maker</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ff505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Authenticity</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505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Various activities</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505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Inquiry, research and evidence</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505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Evidence of time management and planning</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505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t xml:space="preserve">X</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Problem solving strategies</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00b050"/>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Summary of Unit:</w:t>
            </w:r>
          </w:p>
        </w:tc>
      </w:tr>
      <w:tr>
        <w:trPr>
          <w:trHeight w:val="300" w:hRule="atLeast"/>
        </w:trPr>
        <w:tc>
          <w:tcPr>
            <w:gridSpan w:val="5"/>
            <w:vMerge w:val="restart"/>
            <w:tcBorders>
              <w:top w:color="000000" w:space="0" w:sz="4" w:val="single"/>
              <w:left w:color="000000" w:space="0" w:sz="4" w:val="single"/>
              <w:bottom w:color="000000" w:space="0" w:sz="4" w:val="single"/>
              <w:right w:color="000000" w:space="0" w:sz="4" w:val="single"/>
            </w:tcBorders>
            <w:shd w:fill="c2d69a"/>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 </w:t>
            </w:r>
          </w:p>
        </w:tc>
      </w:tr>
      <w:tr>
        <w:trPr>
          <w:trHeight w:val="300" w:hRule="atLeast"/>
        </w:trPr>
        <w:tc>
          <w:tcPr>
            <w:gridSpan w:val="5"/>
            <w:vMerge w:val="continue"/>
            <w:tcBorders>
              <w:top w:color="000000" w:space="0" w:sz="4" w:val="single"/>
              <w:left w:color="000000" w:space="0" w:sz="4" w:val="single"/>
              <w:bottom w:color="000000" w:space="0" w:sz="4" w:val="single"/>
              <w:right w:color="000000" w:space="0" w:sz="4" w:val="single"/>
            </w:tcBorders>
            <w:shd w:fill="c2d69a"/>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r>
      <w:tr>
        <w:trPr>
          <w:trHeight w:val="300" w:hRule="atLeast"/>
        </w:trPr>
        <w:tc>
          <w:tcPr>
            <w:gridSpan w:val="5"/>
            <w:vMerge w:val="continue"/>
            <w:tcBorders>
              <w:top w:color="000000" w:space="0" w:sz="4" w:val="single"/>
              <w:left w:color="000000" w:space="0" w:sz="4" w:val="single"/>
              <w:bottom w:color="000000" w:space="0" w:sz="4" w:val="single"/>
              <w:right w:color="000000" w:space="0" w:sz="4" w:val="single"/>
            </w:tcBorders>
            <w:shd w:fill="c2d69a"/>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r>
      <w:tr>
        <w:trPr>
          <w:trHeight w:val="300" w:hRule="atLeast"/>
        </w:trPr>
        <w:tc>
          <w:tcPr>
            <w:gridSpan w:val="5"/>
            <w:vMerge w:val="continue"/>
            <w:tcBorders>
              <w:top w:color="000000" w:space="0" w:sz="4" w:val="single"/>
              <w:left w:color="000000" w:space="0" w:sz="4" w:val="single"/>
              <w:bottom w:color="000000" w:space="0" w:sz="4" w:val="single"/>
              <w:right w:color="000000" w:space="0" w:sz="4" w:val="single"/>
            </w:tcBorders>
            <w:shd w:fill="c2d69a"/>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r>
      <w:tr>
        <w:trPr>
          <w:trHeight w:val="300" w:hRule="atLeast"/>
        </w:trPr>
        <w:tc>
          <w:tcPr>
            <w:gridSpan w:val="5"/>
            <w:vMerge w:val="continue"/>
            <w:tcBorders>
              <w:top w:color="000000" w:space="0" w:sz="4" w:val="single"/>
              <w:left w:color="000000" w:space="0" w:sz="4" w:val="single"/>
              <w:bottom w:color="000000" w:space="0" w:sz="4" w:val="single"/>
              <w:right w:color="000000" w:space="0" w:sz="4" w:val="single"/>
            </w:tcBorders>
            <w:shd w:fill="c2d69a"/>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r>
      <w:tr>
        <w:trPr>
          <w:trHeight w:val="300" w:hRule="atLeast"/>
        </w:trPr>
        <w:tc>
          <w:tcPr>
            <w:gridSpan w:val="5"/>
            <w:vMerge w:val="continue"/>
            <w:tcBorders>
              <w:top w:color="000000" w:space="0" w:sz="4" w:val="single"/>
              <w:left w:color="000000" w:space="0" w:sz="4" w:val="single"/>
              <w:bottom w:color="000000" w:space="0" w:sz="4" w:val="single"/>
              <w:right w:color="000000" w:space="0" w:sz="4" w:val="single"/>
            </w:tcBorders>
            <w:shd w:fill="c2d69a"/>
            <w:vAlign w:val="bottom"/>
          </w:tcPr>
          <w:p w:rsidR="00000000" w:rsidDel="00000000" w:rsidP="00000000" w:rsidRDefault="00000000" w:rsidRPr="00000000">
            <w:pPr>
              <w:pBdr/>
              <w:spacing w:after="0" w:line="240" w:lineRule="auto"/>
              <w:contextualSpacing w:val="0"/>
              <w:rPr>
                <w:color w:val="00000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